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内部控制缺陷汇总表</w:t>
      </w:r>
    </w:p>
    <w:tbl>
      <w:tblPr>
        <w:tblStyle w:val="2"/>
        <w:tblW w:w="9525" w:type="dxa"/>
        <w:tblInd w:w="-2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89"/>
        <w:gridCol w:w="2826"/>
        <w:gridCol w:w="1350"/>
        <w:gridCol w:w="2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一、设计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</w:t>
            </w:r>
          </w:p>
        </w:tc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是指缺少为实现控制目标所必须的控制，或者现有控制设计不适当，即使正常运行也难以实现控制目标。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缺陷编号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相关业务流程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内部控制缺陷描述、形成原因及影响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判定依据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缺陷等级（一般缺陷/重要缺陷/重大缺陷）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二、运行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</w:t>
            </w:r>
          </w:p>
        </w:tc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是指设计适当的控制没有按设计意图运行，或者执行人员缺乏必要授权或专业胜任能力，无法有效实施控制。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缺陷编号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相关业务流程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内部控制缺陷描述、形成原因及影响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判定依据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缺陷等级（一般缺陷/重要缺陷/重大缺陷）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三、经判定：</w:t>
            </w:r>
          </w:p>
        </w:tc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内部控制一般缺陷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个，重要缺陷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个，重大缺陷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个，缺陷合计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个。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内部控制审计工作底稿汇总表</w:t>
      </w:r>
    </w:p>
    <w:tbl>
      <w:tblPr>
        <w:tblStyle w:val="2"/>
        <w:tblW w:w="9540" w:type="dxa"/>
        <w:tblInd w:w="-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425"/>
        <w:gridCol w:w="1440"/>
        <w:gridCol w:w="1185"/>
        <w:gridCol w:w="990"/>
        <w:gridCol w:w="1290"/>
        <w:gridCol w:w="1320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控制要素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主要风险点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控制措施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证据资料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缺陷描述及影响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审计人员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GE5NGNmZGNiZjdkNzZkMjVmNGQxNzNjODEzN2UifQ=="/>
  </w:docVars>
  <w:rsids>
    <w:rsidRoot w:val="7DFE5B46"/>
    <w:rsid w:val="7D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2025-11-06T02:18:00Z</dcterms:created>
  <dc:creator>郭鹤翔</dc:creator>
  <cp:lastModifiedBy>郭鹤翔</cp:lastModifiedBy>
  <dcterms:modified xsi:type="dcterms:W3CDTF">2025-11-06T02:19:25Z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7B5BD53F94474CBBB1BA1A5CA1C6AB1E_11</vt:lpwstr>
  </property>
</Properties>
</file>